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C7" w:rsidRPr="008406C7" w:rsidRDefault="008406C7" w:rsidP="008406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0D29"/>
          <w:lang w:eastAsia="pt-BR"/>
        </w:rPr>
      </w:pPr>
      <w:r w:rsidRPr="008406C7">
        <w:rPr>
          <w:rFonts w:ascii="Arial" w:eastAsia="Times New Roman" w:hAnsi="Arial" w:cs="Arial"/>
          <w:b/>
          <w:bCs/>
          <w:color w:val="3F0D29"/>
          <w:lang w:eastAsia="pt-BR"/>
        </w:rPr>
        <w:t>DECRETO Nº 599, de 18 de outubro de 2011.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Dispõe sobre o Sistema Estadual de Museus de Santa Catarina e estabelece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outras providências.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O GOVERNADOR DO ESTADO DE SANTA CATARINA, usando da competência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privativa que lhe confere o art. 71, incisos I, III e IV, da Constituição do Estado,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D E C R E T </w:t>
      </w:r>
      <w:proofErr w:type="gramStart"/>
      <w:r w:rsidRPr="008406C7">
        <w:rPr>
          <w:rFonts w:ascii="Arial" w:eastAsia="Times New Roman" w:hAnsi="Arial" w:cs="Arial"/>
          <w:color w:val="3F0D29"/>
          <w:lang w:eastAsia="pt-BR"/>
        </w:rPr>
        <w:t>A :</w:t>
      </w:r>
      <w:proofErr w:type="gramEnd"/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Art. 1º O Sistema Estadual de Museus de Santa Catarina (SEM/SC) compõe 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estrutura administrativa da Fundação Catarinense de Cultura (FCC), cabendo-lhe elaborar 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coordenar a sistematização das políticas públicas no campo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museológico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>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§ 1º O SEM/SC será coordenado por 1 (um) servidor indicado pela Presidência da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FCC.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§ 2º O SEM/SC não interfere na autonomia administrativa, nas dotações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orçamentárias e na gestão de pessoal dos órgãos que o integram.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Art. 2º Para fins deste Decreto, as instituições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museológicas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 xml:space="preserve"> são consideradas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práticas sociais colocadas a serviço da sociedade, de seu desenvolvimento e de sua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sustentabilidade nos aspectos cultural, social, econômico e ambiental, comprometidas com 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gestão democrática e participativa, e apresentam as seguintes características em sua atuação: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 – trabalho permanente com o patrimônio cultural;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II – presença de acervos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museológicos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 xml:space="preserve"> e exposições abertas ao público, com o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objetivo de propiciar a ampliação do campo de possibilidades de construção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identitária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>, 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percepção e a reflexão crítica da realidade cultural brasileira, o estímulo à produção do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conhecimento e de novas oportunidades de educação, turismo e lazer;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III – desenvolvimento de programas, projetos e ações que utilizem o patrimônio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cultural como recurso educacional e de inclusão social; 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IV – aplicação das ações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museológicas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 xml:space="preserve"> de comunicação, investigação,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interpretação, documentação e preservação de testemunhos culturais e naturais.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Art. 3º São objetivos do SEM/SC: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I – promover a articulação entre as instituições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museológicas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 xml:space="preserve"> existentes no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Estado, respeitada a autonomia jurídico-administrativa, cultural e técnico-científica de cada uma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delas;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II – estimular e </w:t>
      </w:r>
      <w:proofErr w:type="gramStart"/>
      <w:r w:rsidRPr="008406C7">
        <w:rPr>
          <w:rFonts w:ascii="Arial" w:eastAsia="Times New Roman" w:hAnsi="Arial" w:cs="Arial"/>
          <w:color w:val="3F0D29"/>
          <w:lang w:eastAsia="pt-BR"/>
        </w:rPr>
        <w:t>promover</w:t>
      </w:r>
      <w:proofErr w:type="gramEnd"/>
      <w:r w:rsidRPr="008406C7">
        <w:rPr>
          <w:rFonts w:ascii="Arial" w:eastAsia="Times New Roman" w:hAnsi="Arial" w:cs="Arial"/>
          <w:color w:val="3F0D29"/>
          <w:lang w:eastAsia="pt-BR"/>
        </w:rPr>
        <w:t xml:space="preserve"> o desenvolvimento de programas, projetos e atividades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museológicas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 xml:space="preserve"> entre as instituições integrantes do Sistema, respeitando e valorizando o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patrimônio cultural de cada comunidade de acordo com as suas especificidades;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III – divulgar padrões e procedimentos técnico-científicos que sirvam de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orientação às equipes responsáveis pelas instituições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museológicas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 xml:space="preserve"> estabelecidas no Estado;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IV – estimular e promover programas e projetos de incremento e qualificação,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bem como incentivar a formação, atualização e valorização dos profissionais de instituições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museológicas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 xml:space="preserve"> existentes no Estado;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V – estimular a participação de museus no Sistema, independente do tipo, porte 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lastRenderedPageBreak/>
        <w:t>do segmento da sociedade do qual derivam ou fazem parte;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VI – incentivar a criação de redes e sistemas municipais e regionais de museus,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bem como promover o intercâmbio com sistemas e redes nacionais e internacionais;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VII – criar cadastro e incentivar a inclusão de dados, promovendo sua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manutenção e atualização das instituições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museológicas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 xml:space="preserve"> estabelecidas no Estado;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VIII – propor a criação e o aperfeiçoamento de instrumentos legais, para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aprimoramento de instituições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museológicas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>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IX – propor medidas para a política de segurança e proteção de acervos,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instalações e edificações dos museus no Estado; 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X – estimular políticas de permuta, aquisição, documentação, investigação,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preservação, conservação, restauração e difusão de acervos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museológicos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 xml:space="preserve"> no Estado.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Art. 4º Integram o SEM/SC: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I – instituições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museológicas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 xml:space="preserve"> municipais, estaduais e federais e de caráter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privado, sediadas no Estado;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II – grupos étnicos e culturais e organizações sociais, que mantenham ações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museológicas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 xml:space="preserve"> continuadas no Estado;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III – escolas e universidades, oficialmente reconhecidas pelo Ministério da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Educação (MEC) ou pela Secretaria de Estado da Educação (SED), que mantenham cursos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relativos ao campo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museológico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 xml:space="preserve"> no Estado; 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IV – outras entidades organizadas, vinculadas ao setor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museológico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>, com atuação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e ações continuadas no Estado.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Art. 5º Para integrar o SEM/SC, as instituições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museológicas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 xml:space="preserve"> deverão: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 – estar legalmente constituídas;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II – ter sede no Estado; 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III – firmar instrumento legal específico com a FCC.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Art. 6º O SEM/SC contará com um Fórum Estadual de Museus, de caráter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consultivo e deliberativo, que atuará segundo as orientações e determinações contidas nas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políticas governamentais, competindo-lhe: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 – discutir e apresentar propostas para a Política Estadual de Museus;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II – apresentar proposições e opinar sobre ações, programas e projetos para 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área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museológica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 xml:space="preserve"> do Estado;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III – discutir e propor resoluções; 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IV – apoiar e incentivar a participação e a conscientização dos profissionais que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atuam na área de museu.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§ 1º A Presidência do Fórum caberá ao coordenador do SEM/SC.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§ 2º O presidente da FCC será o presidente de honra do Fórum, cabendo-lhe 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direção dos trabalhos quando comparecer à assembléia, sem direito a voto, não sendo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computado entre os membros para todos os efeitos legais.</w:t>
      </w:r>
    </w:p>
    <w:p w:rsidR="008406C7" w:rsidRPr="008406C7" w:rsidRDefault="008406C7" w:rsidP="008406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0D29"/>
          <w:lang w:eastAsia="pt-BR"/>
        </w:rPr>
      </w:pPr>
      <w:r w:rsidRPr="008406C7">
        <w:rPr>
          <w:rFonts w:ascii="Arial" w:eastAsia="Times New Roman" w:hAnsi="Arial" w:cs="Arial"/>
          <w:color w:val="3F0D29"/>
          <w:lang w:eastAsia="pt-BR"/>
        </w:rPr>
        <w:t>Art. 7º O Fórum Estadual de Museus será formado por representantes de cada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instituição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museológica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 xml:space="preserve"> cadastrada no SEM/SC.</w:t>
      </w:r>
    </w:p>
    <w:p w:rsidR="008406C7" w:rsidRPr="008406C7" w:rsidRDefault="008406C7" w:rsidP="008406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0D29"/>
          <w:lang w:eastAsia="pt-BR"/>
        </w:rPr>
      </w:pPr>
      <w:r w:rsidRPr="008406C7">
        <w:rPr>
          <w:rFonts w:ascii="Arial" w:eastAsia="Times New Roman" w:hAnsi="Arial" w:cs="Arial"/>
          <w:color w:val="3F0D29"/>
          <w:lang w:eastAsia="pt-BR"/>
        </w:rPr>
        <w:t xml:space="preserve">§ 1º Cada instituição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museológica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 xml:space="preserve"> terá direito a um voto nas assembléias.</w:t>
      </w:r>
    </w:p>
    <w:p w:rsidR="008406C7" w:rsidRPr="008406C7" w:rsidRDefault="008406C7" w:rsidP="008406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0D29"/>
          <w:lang w:eastAsia="pt-BR"/>
        </w:rPr>
      </w:pPr>
      <w:r w:rsidRPr="008406C7">
        <w:rPr>
          <w:rFonts w:ascii="Arial" w:eastAsia="Times New Roman" w:hAnsi="Arial" w:cs="Arial"/>
          <w:color w:val="3F0D29"/>
          <w:lang w:eastAsia="pt-BR"/>
        </w:rPr>
        <w:lastRenderedPageBreak/>
        <w:t>§ 2º Poderão, ainda, ser convidados a integrar o Fórum representantes da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sociedade civil, de órgãos e entidades do Poder </w:t>
      </w:r>
      <w:proofErr w:type="gramStart"/>
      <w:r w:rsidRPr="008406C7">
        <w:rPr>
          <w:rFonts w:ascii="Arial" w:eastAsia="Times New Roman" w:hAnsi="Arial" w:cs="Arial"/>
          <w:color w:val="3F0D29"/>
          <w:lang w:eastAsia="pt-BR"/>
        </w:rPr>
        <w:t>Público atuantes na área temática</w:t>
      </w:r>
      <w:proofErr w:type="gramEnd"/>
      <w:r w:rsidRPr="008406C7">
        <w:rPr>
          <w:rFonts w:ascii="Arial" w:eastAsia="Times New Roman" w:hAnsi="Arial" w:cs="Arial"/>
          <w:color w:val="3F0D29"/>
          <w:lang w:eastAsia="pt-BR"/>
        </w:rPr>
        <w:t xml:space="preserve">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museológica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>,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sem direito a voto.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Art. 8º O Fórum Estadual de Museus se reunirá, ordinariamente a cada 2 (dois)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anos e, extraordinariamente, mediante convocação da coordenação do SEM/SC.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Art. 9º O SEM/SC disporá de um Comitê Gestor que terá por finalidade: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I – supervisionar e acompanhar as ações para a área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museológica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>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II – desenvolver iniciativas que visem à consolidação e ao aprimoramento do setor,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em todos os níveis; 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III – apresentar ao presidente da FCC proposta para o regimento interno do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SEM/SC, o qual, posteriormente, o submeterá ao Secretário de Estado de Turismo, Cultura 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Esporte e à homologação do Chefe do Poder Executivo, por meio de decreto.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Art. 10. O Comitê Gestor do SEM/SC terá a seguinte composição: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 – como membro nato, o coordenador do SEM/SC, que será o seu coordenador; 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II – como membros indicados, </w:t>
      </w:r>
      <w:proofErr w:type="gramStart"/>
      <w:r w:rsidRPr="008406C7">
        <w:rPr>
          <w:rFonts w:ascii="Arial" w:eastAsia="Times New Roman" w:hAnsi="Arial" w:cs="Arial"/>
          <w:color w:val="3F0D29"/>
          <w:lang w:eastAsia="pt-BR"/>
        </w:rPr>
        <w:t>1</w:t>
      </w:r>
      <w:proofErr w:type="gramEnd"/>
      <w:r w:rsidRPr="008406C7">
        <w:rPr>
          <w:rFonts w:ascii="Arial" w:eastAsia="Times New Roman" w:hAnsi="Arial" w:cs="Arial"/>
          <w:color w:val="3F0D29"/>
          <w:lang w:eastAsia="pt-BR"/>
        </w:rPr>
        <w:t xml:space="preserve"> (um) representante dos seguintes órgãos do Poder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Público: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a) Secretaria de Estado de Turismo, Cultura e Esporte (SOL);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b) Secretaria de Estado da Educação (SED);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c) Secretaria de Estado do Planejamento (SPG);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d) Fundação Catarinense de Cultura (FCC);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e) Fundação de Amparo à Pesquisa e Inovação do Estado de Santa Catarina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(FAPESC);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f) Fundação do Meio Ambiente (FATMA);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g) Santa Catarina Turismo S.A. (SANTUR);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h) Agência de Fomento do Estado de Santa Catarina S.A. (BADESC);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i) Empresa de Pesquisa Agropecuária e Extensão Rural de Santa Catarina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(EPAGRI);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III – como representantes da sociedade civil organizada, 9 (nove) membros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conforme o seguinte: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a) 1 (um) indicado por entidade com abrangência estadual representativa da classe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museológica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>;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b) 1 (um) eleito por escolas e universidades, oficialmente reconhecidas pelo MEC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ou pela SED, que mantenham cursos relativos ao campo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museológico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 xml:space="preserve"> no Estado, escolhido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dentre seus pares; 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c) 7 (sete) eleitos, escolhidos dentre seus pares, por instituições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museológicas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br/>
        <w:t>das regiões da Grande Florianópolis, Norte Catarinense, Meio-Oeste Catarinense, Oeste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Catarinense, Serra Catarinense, Sul Catarinense e Vale do Itajaí.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§ 1º Nas ausências e impedimentos do coordenador, assumirá o representante da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FCC, indicado na forma do inciso II, alínea “d”, deste artigo.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§ 2º Os membros indicados para compor o Comitê deverão ser formalizados ao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presidente da FCC, sendo para cada caso apresentado o nome do titular e do respectivo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suplente.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lastRenderedPageBreak/>
        <w:t>§ 3º Nas ausências e impedimentos de membro titular, assumirá o suplente,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indicado ou eleito na forma prevista neste Decreto.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§ 4º A eleição dos membros, a que se refere o inciso III, alíneas “a” e “b” deste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artigo, deverá ser realizada pelas instituições, por ocasião de assembléia do Fórum, observado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que o titular será o representante mais votado e </w:t>
      </w:r>
      <w:proofErr w:type="gramStart"/>
      <w:r w:rsidRPr="008406C7">
        <w:rPr>
          <w:rFonts w:ascii="Arial" w:eastAsia="Times New Roman" w:hAnsi="Arial" w:cs="Arial"/>
          <w:color w:val="3F0D29"/>
          <w:lang w:eastAsia="pt-BR"/>
        </w:rPr>
        <w:t>o</w:t>
      </w:r>
      <w:proofErr w:type="gramEnd"/>
      <w:r w:rsidRPr="008406C7">
        <w:rPr>
          <w:rFonts w:ascii="Arial" w:eastAsia="Times New Roman" w:hAnsi="Arial" w:cs="Arial"/>
          <w:color w:val="3F0D29"/>
          <w:lang w:eastAsia="pt-BR"/>
        </w:rPr>
        <w:t xml:space="preserve"> respectivo suplente o segundo mais votado.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§ 5º O mandato dos membros eleitos será de 2 (dois) anos, permitida uma única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recondução.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§ 6º Mediante ato do presidente da FCC, poderão ser fixadas novas regiões para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melhor organização do SEM/SC, com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renomeação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t xml:space="preserve"> das existentes e relacionadas no inciso III,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alínea “a”, deste artigo, respeitado o número máximo de 10 (dez) regiões, elevando-se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proporcionalmente o número de representantes do Poder Público.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§ 7º A forma de organização e funcionamento do Comitê será regulamentada no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regimento interno do SEM/SC.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Art. 11. As deliberações emanadas do Fórum Estadual de Museus e do Comitê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Gestor serão encaminhadas ao presidente da FCC, pelo coordenador do SEM/SC, para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demandar as ações cabíveis.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Art. 12. Os representantes que compõem a estrutura do SEM/SC, do Fórum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Estadual de Museus e do Comitê Gestor não receberão qualquer tipo de remuneração por sua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atuação, sendo o exercício de suas atividades considerado de relevante interesse público.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Art. 13. À FCC cabe prover o apoio técnico, operacional, financeiro e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administrativo e outros meios indispensáveis ao pleno cumprimento deste Decreto, na forma da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Lei.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Art. 14. Este Decreto entra em vigor na data de sua publicação.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Art. 15. Fica revogado o Decreto n° 4.163, de 29 de março de 2006.</w:t>
      </w:r>
      <w:r w:rsidRPr="008406C7">
        <w:rPr>
          <w:rFonts w:ascii="Arial" w:eastAsia="Times New Roman" w:hAnsi="Arial" w:cs="Arial"/>
          <w:color w:val="3F0D29"/>
          <w:lang w:eastAsia="pt-BR"/>
        </w:rPr>
        <w:br/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>Florianópolis, 18 de outubro de 2011</w:t>
      </w:r>
    </w:p>
    <w:p w:rsidR="008406C7" w:rsidRPr="008406C7" w:rsidRDefault="008406C7" w:rsidP="00840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0D29"/>
          <w:lang w:eastAsia="pt-BR"/>
        </w:rPr>
      </w:pPr>
      <w:r w:rsidRPr="008406C7">
        <w:rPr>
          <w:rFonts w:ascii="Arial" w:eastAsia="Times New Roman" w:hAnsi="Arial" w:cs="Arial"/>
          <w:b/>
          <w:bCs/>
          <w:color w:val="3F0D29"/>
          <w:lang w:eastAsia="pt-BR"/>
        </w:rPr>
        <w:t>JOÃO RAIMUNDO COLOMBO</w:t>
      </w:r>
      <w:r w:rsidRPr="008406C7">
        <w:rPr>
          <w:rFonts w:ascii="Arial" w:eastAsia="Times New Roman" w:hAnsi="Arial" w:cs="Arial"/>
          <w:color w:val="3F0D29"/>
          <w:lang w:eastAsia="pt-BR"/>
        </w:rPr>
        <w:br/>
        <w:t xml:space="preserve">Antonio </w:t>
      </w:r>
      <w:proofErr w:type="spellStart"/>
      <w:r w:rsidRPr="008406C7">
        <w:rPr>
          <w:rFonts w:ascii="Arial" w:eastAsia="Times New Roman" w:hAnsi="Arial" w:cs="Arial"/>
          <w:color w:val="3F0D29"/>
          <w:lang w:eastAsia="pt-BR"/>
        </w:rPr>
        <w:t>Ceron</w:t>
      </w:r>
      <w:proofErr w:type="spellEnd"/>
      <w:r w:rsidRPr="008406C7">
        <w:rPr>
          <w:rFonts w:ascii="Arial" w:eastAsia="Times New Roman" w:hAnsi="Arial" w:cs="Arial"/>
          <w:color w:val="3F0D29"/>
          <w:lang w:eastAsia="pt-BR"/>
        </w:rPr>
        <w:br/>
        <w:t>César Souza Junior</w:t>
      </w:r>
    </w:p>
    <w:p w:rsidR="0012443A" w:rsidRDefault="008406C7"/>
    <w:sectPr w:rsidR="0012443A" w:rsidSect="00544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06C7"/>
    <w:rsid w:val="002C30FA"/>
    <w:rsid w:val="00544D18"/>
    <w:rsid w:val="008406C7"/>
    <w:rsid w:val="0096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0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7946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fcc-manoela</dc:creator>
  <cp:lastModifiedBy>fcc-manoela</cp:lastModifiedBy>
  <cp:revision>1</cp:revision>
  <dcterms:created xsi:type="dcterms:W3CDTF">2018-03-05T19:08:00Z</dcterms:created>
  <dcterms:modified xsi:type="dcterms:W3CDTF">2018-03-05T19:08:00Z</dcterms:modified>
</cp:coreProperties>
</file>